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1C7F9" w14:textId="3CF9478C" w:rsidR="00122C77" w:rsidRPr="00196B36" w:rsidRDefault="00B97E5E" w:rsidP="000D4C2E">
      <w:pPr>
        <w:jc w:val="center"/>
      </w:pPr>
      <w:r w:rsidRPr="00196B36">
        <w:t>CLASS 12</w:t>
      </w:r>
    </w:p>
    <w:p w14:paraId="43BF0D2B" w14:textId="13690D3B" w:rsidR="00995913" w:rsidRPr="00196B36" w:rsidRDefault="00995913" w:rsidP="000D4C2E">
      <w:pPr>
        <w:jc w:val="center"/>
        <w:rPr>
          <w:b/>
          <w:bCs/>
        </w:rPr>
      </w:pPr>
      <w:r w:rsidRPr="00196B36">
        <w:rPr>
          <w:b/>
          <w:bCs/>
        </w:rPr>
        <w:t>I</w:t>
      </w:r>
    </w:p>
    <w:p w14:paraId="53D75DC2" w14:textId="77777777" w:rsidR="008119E9" w:rsidRPr="00E20035" w:rsidRDefault="008119E9" w:rsidP="008119E9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Coca-Cola</w:t>
      </w:r>
      <w:r w:rsidRPr="00E20035">
        <w:rPr>
          <w:rFonts w:cstheme="minorHAnsi"/>
          <w:sz w:val="20"/>
          <w:szCs w:val="20"/>
          <w:lang w:val="en-US"/>
        </w:rPr>
        <w:t xml:space="preserve"> is presently </w:t>
      </w:r>
      <w:proofErr w:type="gramStart"/>
      <w:r w:rsidRPr="00E20035">
        <w:rPr>
          <w:rFonts w:cstheme="minorHAnsi"/>
          <w:sz w:val="20"/>
          <w:szCs w:val="20"/>
          <w:lang w:val="en-US"/>
        </w:rPr>
        <w:t>pricing</w:t>
      </w:r>
      <w:proofErr w:type="gramEnd"/>
      <w:r w:rsidRPr="00E20035">
        <w:rPr>
          <w:rFonts w:cstheme="minorHAnsi"/>
          <w:sz w:val="20"/>
          <w:szCs w:val="20"/>
          <w:lang w:val="en-US"/>
        </w:rPr>
        <w:t xml:space="preserve"> at </w:t>
      </w:r>
      <w:r>
        <w:rPr>
          <w:rFonts w:cstheme="minorHAnsi"/>
          <w:sz w:val="20"/>
          <w:szCs w:val="20"/>
          <w:lang w:val="en-US"/>
        </w:rPr>
        <w:t>$65.77</w:t>
      </w:r>
      <w:r w:rsidRPr="00E20035">
        <w:rPr>
          <w:rFonts w:cstheme="minorHAnsi"/>
          <w:sz w:val="20"/>
          <w:szCs w:val="20"/>
          <w:lang w:val="en-US"/>
        </w:rPr>
        <w:t xml:space="preserve">, and the </w:t>
      </w:r>
      <w:proofErr w:type="gramStart"/>
      <w:r w:rsidRPr="00E20035">
        <w:rPr>
          <w:rFonts w:cstheme="minorHAnsi"/>
          <w:sz w:val="20"/>
          <w:szCs w:val="20"/>
          <w:lang w:val="en-US"/>
        </w:rPr>
        <w:t>risk free</w:t>
      </w:r>
      <w:proofErr w:type="gramEnd"/>
      <w:r w:rsidRPr="00E20035">
        <w:rPr>
          <w:rFonts w:cstheme="minorHAnsi"/>
          <w:sz w:val="20"/>
          <w:szCs w:val="20"/>
          <w:lang w:val="en-US"/>
        </w:rPr>
        <w:t xml:space="preserve"> rate is at </w:t>
      </w:r>
      <w:r>
        <w:rPr>
          <w:rFonts w:cstheme="minorHAnsi"/>
          <w:sz w:val="20"/>
          <w:szCs w:val="20"/>
          <w:lang w:val="en-US"/>
        </w:rPr>
        <w:t>+1.55</w:t>
      </w:r>
      <w:r w:rsidRPr="00E20035">
        <w:rPr>
          <w:rFonts w:cstheme="minorHAnsi"/>
          <w:sz w:val="20"/>
          <w:szCs w:val="20"/>
          <w:lang w:val="en-US"/>
        </w:rPr>
        <w:t xml:space="preserve">% per year. The </w:t>
      </w:r>
      <w:r w:rsidRPr="00E20035">
        <w:rPr>
          <w:rFonts w:cstheme="minorHAnsi"/>
          <w:sz w:val="20"/>
          <w:szCs w:val="20"/>
        </w:rPr>
        <w:t>implied volatility</w:t>
      </w:r>
      <w:r w:rsidRPr="00E20035">
        <w:rPr>
          <w:rFonts w:cstheme="minorHAnsi"/>
          <w:sz w:val="20"/>
          <w:szCs w:val="20"/>
          <w:lang w:val="en-US"/>
        </w:rPr>
        <w:t xml:space="preserve"> observed in the options series is close to </w:t>
      </w:r>
      <w:r>
        <w:rPr>
          <w:rFonts w:cstheme="minorHAnsi"/>
          <w:sz w:val="20"/>
          <w:szCs w:val="20"/>
          <w:lang w:val="en-US"/>
        </w:rPr>
        <w:t>12</w:t>
      </w:r>
      <w:r w:rsidRPr="00E20035">
        <w:rPr>
          <w:rFonts w:cstheme="minorHAnsi"/>
          <w:sz w:val="20"/>
          <w:szCs w:val="20"/>
          <w:lang w:val="en-US"/>
        </w:rPr>
        <w:t>% and the market is expecting the firm to pay a dividend yield of 2.5%.</w:t>
      </w:r>
    </w:p>
    <w:p w14:paraId="0834CE7F" w14:textId="77777777" w:rsidR="008119E9" w:rsidRPr="00E20035" w:rsidRDefault="008119E9" w:rsidP="008119E9">
      <w:pPr>
        <w:jc w:val="both"/>
        <w:rPr>
          <w:rFonts w:cstheme="minorHAnsi"/>
          <w:sz w:val="20"/>
          <w:szCs w:val="20"/>
          <w:lang w:val="en-US"/>
        </w:rPr>
      </w:pPr>
    </w:p>
    <w:p w14:paraId="6CE28AA4" w14:textId="77777777" w:rsidR="008119E9" w:rsidRPr="00E20035" w:rsidRDefault="008119E9" w:rsidP="008119E9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E20035">
        <w:rPr>
          <w:rFonts w:cstheme="minorHAnsi"/>
          <w:sz w:val="20"/>
          <w:szCs w:val="20"/>
          <w:lang w:val="en-US"/>
        </w:rPr>
        <w:t>Using the Black-Scholes-Merton equation adjusted for dividends:</w:t>
      </w:r>
    </w:p>
    <w:p w14:paraId="49EDB1BC" w14:textId="77777777" w:rsidR="008119E9" w:rsidRPr="00E20035" w:rsidRDefault="008119E9" w:rsidP="008119E9">
      <w:pPr>
        <w:numPr>
          <w:ilvl w:val="1"/>
          <w:numId w:val="2"/>
        </w:num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E20035">
        <w:rPr>
          <w:rFonts w:cstheme="minorHAnsi"/>
          <w:sz w:val="20"/>
          <w:szCs w:val="20"/>
          <w:lang w:val="en-US"/>
        </w:rPr>
        <w:t xml:space="preserve">What should be the fair price for an </w:t>
      </w:r>
      <w:r>
        <w:rPr>
          <w:rFonts w:cstheme="minorHAnsi"/>
          <w:sz w:val="20"/>
          <w:szCs w:val="20"/>
          <w:lang w:val="en-US"/>
        </w:rPr>
        <w:t xml:space="preserve">at-the-money </w:t>
      </w:r>
      <w:r w:rsidRPr="00E20035">
        <w:rPr>
          <w:rFonts w:cstheme="minorHAnsi"/>
          <w:sz w:val="20"/>
          <w:szCs w:val="20"/>
          <w:lang w:val="en-US"/>
        </w:rPr>
        <w:t xml:space="preserve">European </w:t>
      </w:r>
      <w:r>
        <w:rPr>
          <w:rFonts w:cstheme="minorHAnsi"/>
          <w:sz w:val="20"/>
          <w:szCs w:val="20"/>
          <w:lang w:val="en-US"/>
        </w:rPr>
        <w:t>put</w:t>
      </w:r>
      <w:r w:rsidRPr="00E20035">
        <w:rPr>
          <w:rFonts w:cstheme="minorHAnsi"/>
          <w:sz w:val="20"/>
          <w:szCs w:val="20"/>
          <w:lang w:val="en-US"/>
        </w:rPr>
        <w:t xml:space="preserve"> option on </w:t>
      </w:r>
      <w:r>
        <w:rPr>
          <w:rFonts w:cstheme="minorHAnsi"/>
          <w:sz w:val="20"/>
          <w:szCs w:val="20"/>
          <w:lang w:val="en-US"/>
        </w:rPr>
        <w:t>Coca-Cola</w:t>
      </w:r>
      <w:r w:rsidRPr="00E20035">
        <w:rPr>
          <w:rFonts w:cstheme="minorHAnsi"/>
          <w:sz w:val="20"/>
          <w:szCs w:val="20"/>
          <w:lang w:val="en-US"/>
        </w:rPr>
        <w:t xml:space="preserve"> maturing </w:t>
      </w:r>
      <w:proofErr w:type="gramStart"/>
      <w:r w:rsidRPr="00E20035">
        <w:rPr>
          <w:rFonts w:cstheme="minorHAnsi"/>
          <w:sz w:val="20"/>
          <w:szCs w:val="20"/>
          <w:lang w:val="en-US"/>
        </w:rPr>
        <w:t>on</w:t>
      </w:r>
      <w:proofErr w:type="gramEnd"/>
      <w:r w:rsidRPr="00E20035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January</w:t>
      </w:r>
      <w:r w:rsidRPr="00E20035">
        <w:rPr>
          <w:rFonts w:cstheme="minorHAnsi"/>
          <w:sz w:val="20"/>
          <w:szCs w:val="20"/>
          <w:lang w:val="en-US"/>
        </w:rPr>
        <w:t xml:space="preserve"> 20</w:t>
      </w:r>
      <w:r>
        <w:rPr>
          <w:rFonts w:cstheme="minorHAnsi"/>
          <w:sz w:val="20"/>
          <w:szCs w:val="20"/>
          <w:lang w:val="en-US"/>
        </w:rPr>
        <w:t>21</w:t>
      </w:r>
      <w:r w:rsidRPr="00E20035">
        <w:rPr>
          <w:rFonts w:cstheme="minorHAnsi"/>
          <w:sz w:val="20"/>
          <w:szCs w:val="20"/>
          <w:lang w:val="en-US"/>
        </w:rPr>
        <w:t xml:space="preserve"> (</w:t>
      </w:r>
      <w:r>
        <w:rPr>
          <w:rFonts w:cstheme="minorHAnsi"/>
          <w:sz w:val="20"/>
          <w:szCs w:val="20"/>
          <w:lang w:val="en-US"/>
        </w:rPr>
        <w:t>1</w:t>
      </w:r>
      <w:r w:rsidRPr="00E20035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year</w:t>
      </w:r>
      <w:r w:rsidRPr="00E20035">
        <w:rPr>
          <w:rFonts w:cstheme="minorHAnsi"/>
          <w:sz w:val="20"/>
          <w:szCs w:val="20"/>
          <w:lang w:val="en-US"/>
        </w:rPr>
        <w:t xml:space="preserve"> to maturity)? </w:t>
      </w:r>
      <w:r w:rsidRPr="00E20035">
        <w:rPr>
          <w:rFonts w:cstheme="minorHAnsi"/>
          <w:b/>
          <w:sz w:val="20"/>
          <w:szCs w:val="20"/>
          <w:lang w:val="en-US"/>
        </w:rPr>
        <w:t>(1.0 points)</w:t>
      </w:r>
    </w:p>
    <w:p w14:paraId="3EC85263" w14:textId="77777777" w:rsidR="008119E9" w:rsidRPr="00E20035" w:rsidRDefault="008119E9" w:rsidP="008119E9">
      <w:pPr>
        <w:numPr>
          <w:ilvl w:val="1"/>
          <w:numId w:val="2"/>
        </w:num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E20035">
        <w:rPr>
          <w:rFonts w:cstheme="minorHAnsi"/>
          <w:sz w:val="20"/>
          <w:szCs w:val="20"/>
          <w:lang w:val="en-US"/>
        </w:rPr>
        <w:t xml:space="preserve">What is the risk neutral probability of the </w:t>
      </w:r>
      <w:r>
        <w:rPr>
          <w:rFonts w:cstheme="minorHAnsi"/>
          <w:sz w:val="20"/>
          <w:szCs w:val="20"/>
          <w:lang w:val="en-US"/>
        </w:rPr>
        <w:t>January 2020</w:t>
      </w:r>
      <w:r w:rsidRPr="00E20035">
        <w:rPr>
          <w:rFonts w:cstheme="minorHAnsi"/>
          <w:sz w:val="20"/>
          <w:szCs w:val="20"/>
          <w:lang w:val="en-US"/>
        </w:rPr>
        <w:t xml:space="preserve"> European </w:t>
      </w:r>
      <w:r>
        <w:rPr>
          <w:rFonts w:cstheme="minorHAnsi"/>
          <w:sz w:val="20"/>
          <w:szCs w:val="20"/>
          <w:lang w:val="en-US"/>
        </w:rPr>
        <w:t>put</w:t>
      </w:r>
      <w:r w:rsidRPr="00E20035">
        <w:rPr>
          <w:rFonts w:cstheme="minorHAnsi"/>
          <w:sz w:val="20"/>
          <w:szCs w:val="20"/>
          <w:lang w:val="en-US"/>
        </w:rPr>
        <w:t xml:space="preserve"> option estimated at question 1a) to mature </w:t>
      </w:r>
      <w:r w:rsidRPr="00E20035">
        <w:rPr>
          <w:rFonts w:cstheme="minorHAnsi"/>
          <w:sz w:val="20"/>
          <w:szCs w:val="20"/>
          <w:u w:val="single"/>
          <w:lang w:val="en-US"/>
        </w:rPr>
        <w:t>in-the-money</w:t>
      </w:r>
      <w:r w:rsidRPr="00E20035">
        <w:rPr>
          <w:rFonts w:cstheme="minorHAnsi"/>
          <w:sz w:val="20"/>
          <w:szCs w:val="20"/>
          <w:lang w:val="en-US"/>
        </w:rPr>
        <w:t>?</w:t>
      </w:r>
      <w:r w:rsidRPr="00E20035">
        <w:rPr>
          <w:rFonts w:cstheme="minorHAnsi"/>
          <w:b/>
          <w:sz w:val="20"/>
          <w:szCs w:val="20"/>
          <w:lang w:val="en-US"/>
        </w:rPr>
        <w:t xml:space="preserve"> (1.0 points)</w:t>
      </w:r>
    </w:p>
    <w:p w14:paraId="260D78AF" w14:textId="77777777" w:rsidR="008119E9" w:rsidRPr="00E20035" w:rsidRDefault="008119E9" w:rsidP="008119E9">
      <w:pPr>
        <w:pStyle w:val="ListParagraph"/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E20035">
        <w:rPr>
          <w:rFonts w:asciiTheme="minorHAnsi" w:hAnsiTheme="minorHAnsi" w:cstheme="minorHAnsi"/>
          <w:sz w:val="20"/>
          <w:szCs w:val="20"/>
          <w:lang w:val="en-US"/>
        </w:rPr>
        <w:t xml:space="preserve">What is the delta of the European </w:t>
      </w:r>
      <w:r>
        <w:rPr>
          <w:rFonts w:asciiTheme="minorHAnsi" w:hAnsiTheme="minorHAnsi" w:cstheme="minorHAnsi"/>
          <w:sz w:val="20"/>
          <w:szCs w:val="20"/>
          <w:lang w:val="en-GB"/>
        </w:rPr>
        <w:t>put</w:t>
      </w:r>
      <w:r w:rsidRPr="00E20035">
        <w:rPr>
          <w:rFonts w:asciiTheme="minorHAnsi" w:hAnsiTheme="minorHAnsi" w:cstheme="minorHAnsi"/>
          <w:sz w:val="20"/>
          <w:szCs w:val="20"/>
          <w:lang w:val="en-GB"/>
        </w:rPr>
        <w:t xml:space="preserve"> option estimated at question 1a)? </w:t>
      </w:r>
      <w:r w:rsidRPr="00E20035">
        <w:rPr>
          <w:rFonts w:asciiTheme="minorHAnsi" w:hAnsiTheme="minorHAnsi" w:cstheme="minorHAnsi"/>
          <w:b/>
          <w:sz w:val="20"/>
          <w:szCs w:val="20"/>
          <w:lang w:val="en-US"/>
        </w:rPr>
        <w:t>(1.0 points)</w:t>
      </w:r>
    </w:p>
    <w:p w14:paraId="6DDB8772" w14:textId="77777777" w:rsidR="008119E9" w:rsidRPr="00E20035" w:rsidRDefault="008119E9" w:rsidP="008119E9">
      <w:pPr>
        <w:pStyle w:val="ListParagraph"/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E20035">
        <w:rPr>
          <w:rFonts w:asciiTheme="minorHAnsi" w:hAnsiTheme="minorHAnsi" w:cstheme="minorHAnsi"/>
          <w:sz w:val="20"/>
          <w:szCs w:val="20"/>
          <w:lang w:val="en-US"/>
        </w:rPr>
        <w:t xml:space="preserve">If the </w:t>
      </w:r>
      <w:r>
        <w:rPr>
          <w:rFonts w:asciiTheme="minorHAnsi" w:hAnsiTheme="minorHAnsi" w:cstheme="minorHAnsi"/>
          <w:sz w:val="20"/>
          <w:szCs w:val="20"/>
          <w:lang w:val="en-US"/>
        </w:rPr>
        <w:t>Coca-Cola</w:t>
      </w:r>
      <w:r w:rsidRPr="00E20035">
        <w:rPr>
          <w:rFonts w:asciiTheme="minorHAnsi" w:hAnsiTheme="minorHAnsi" w:cstheme="minorHAnsi"/>
          <w:sz w:val="20"/>
          <w:szCs w:val="20"/>
          <w:lang w:val="en-US"/>
        </w:rPr>
        <w:t xml:space="preserve"> shares </w:t>
      </w:r>
      <w:r w:rsidRPr="00E20035">
        <w:rPr>
          <w:rFonts w:asciiTheme="minorHAnsi" w:hAnsiTheme="minorHAnsi" w:cstheme="minorHAnsi"/>
          <w:sz w:val="20"/>
          <w:szCs w:val="20"/>
          <w:u w:val="single"/>
          <w:lang w:val="en-US"/>
        </w:rPr>
        <w:t>increase</w:t>
      </w:r>
      <w:r w:rsidRPr="00E20035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>$2</w:t>
      </w:r>
      <w:r w:rsidRPr="00E20035">
        <w:rPr>
          <w:rFonts w:asciiTheme="minorHAnsi" w:hAnsiTheme="minorHAnsi" w:cstheme="minorHAnsi"/>
          <w:sz w:val="20"/>
          <w:szCs w:val="20"/>
          <w:lang w:val="en-US"/>
        </w:rPr>
        <w:t>.</w:t>
      </w:r>
      <w:r>
        <w:rPr>
          <w:rFonts w:asciiTheme="minorHAnsi" w:hAnsiTheme="minorHAnsi" w:cstheme="minorHAnsi"/>
          <w:sz w:val="20"/>
          <w:szCs w:val="20"/>
          <w:lang w:val="en-US"/>
        </w:rPr>
        <w:t>0</w:t>
      </w:r>
      <w:r w:rsidRPr="00E20035">
        <w:rPr>
          <w:rFonts w:asciiTheme="minorHAnsi" w:hAnsiTheme="minorHAnsi" w:cstheme="minorHAnsi"/>
          <w:sz w:val="20"/>
          <w:szCs w:val="20"/>
          <w:lang w:val="en-US"/>
        </w:rPr>
        <w:t xml:space="preserve">0 what is the expected </w:t>
      </w:r>
      <w:r>
        <w:rPr>
          <w:rFonts w:asciiTheme="minorHAnsi" w:hAnsiTheme="minorHAnsi" w:cstheme="minorHAnsi"/>
          <w:sz w:val="20"/>
          <w:szCs w:val="20"/>
          <w:lang w:val="en-US"/>
        </w:rPr>
        <w:t>put</w:t>
      </w:r>
      <w:r w:rsidRPr="00E20035">
        <w:rPr>
          <w:rFonts w:asciiTheme="minorHAnsi" w:hAnsiTheme="minorHAnsi" w:cstheme="minorHAnsi"/>
          <w:sz w:val="20"/>
          <w:szCs w:val="20"/>
          <w:lang w:val="en-US"/>
        </w:rPr>
        <w:t xml:space="preserve"> option price change (</w:t>
      </w:r>
      <w:r w:rsidRPr="00E20035">
        <w:rPr>
          <w:rFonts w:asciiTheme="minorHAnsi" w:hAnsiTheme="minorHAnsi" w:cstheme="minorHAnsi"/>
          <w:sz w:val="20"/>
          <w:szCs w:val="20"/>
          <w:lang w:val="en-GB"/>
        </w:rPr>
        <w:t>estimated at question 1a)</w:t>
      </w:r>
      <w:r w:rsidRPr="00E20035">
        <w:rPr>
          <w:rFonts w:asciiTheme="minorHAnsi" w:hAnsiTheme="minorHAnsi" w:cstheme="minorHAnsi"/>
          <w:sz w:val="20"/>
          <w:szCs w:val="20"/>
          <w:lang w:val="en-US"/>
        </w:rPr>
        <w:t>? Please use the delta estimated above.</w:t>
      </w:r>
      <w:r w:rsidRPr="00E20035">
        <w:rPr>
          <w:rFonts w:asciiTheme="minorHAnsi" w:hAnsiTheme="minorHAnsi" w:cstheme="minorHAnsi"/>
          <w:b/>
          <w:sz w:val="20"/>
          <w:szCs w:val="20"/>
          <w:lang w:val="en-US"/>
        </w:rPr>
        <w:t xml:space="preserve"> (1.0 points)</w:t>
      </w:r>
    </w:p>
    <w:p w14:paraId="66A2DB6A" w14:textId="77777777" w:rsidR="004210B6" w:rsidRDefault="004210B6" w:rsidP="008119E9">
      <w:pPr>
        <w:jc w:val="both"/>
        <w:rPr>
          <w:lang w:val="pt-PT"/>
        </w:rPr>
      </w:pPr>
    </w:p>
    <w:p w14:paraId="6E3D6DA9" w14:textId="77777777" w:rsidR="00E25188" w:rsidRDefault="00E25188" w:rsidP="004210B6">
      <w:pPr>
        <w:jc w:val="center"/>
        <w:rPr>
          <w:b/>
          <w:sz w:val="20"/>
          <w:szCs w:val="20"/>
          <w:lang w:val="en-US"/>
        </w:rPr>
      </w:pPr>
    </w:p>
    <w:p w14:paraId="79C0ED09" w14:textId="71865774" w:rsidR="004210B6" w:rsidRPr="00E25188" w:rsidRDefault="004210B6" w:rsidP="00E25188">
      <w:pPr>
        <w:jc w:val="center"/>
        <w:rPr>
          <w:b/>
          <w:sz w:val="20"/>
          <w:szCs w:val="20"/>
          <w:lang w:val="en-US"/>
        </w:rPr>
      </w:pPr>
      <w:r w:rsidRPr="001237E1">
        <w:rPr>
          <w:b/>
          <w:sz w:val="20"/>
          <w:szCs w:val="20"/>
          <w:lang w:val="en-US"/>
        </w:rPr>
        <w:t>I</w:t>
      </w:r>
      <w:r w:rsidR="00BF1B51">
        <w:rPr>
          <w:b/>
          <w:sz w:val="20"/>
          <w:szCs w:val="20"/>
          <w:lang w:val="en-US"/>
        </w:rPr>
        <w:t>I</w:t>
      </w:r>
      <w:r w:rsidRPr="001237E1">
        <w:rPr>
          <w:b/>
          <w:sz w:val="20"/>
          <w:szCs w:val="20"/>
          <w:lang w:val="en-US"/>
        </w:rPr>
        <w:t xml:space="preserve"> </w:t>
      </w:r>
    </w:p>
    <w:p w14:paraId="79527D7C" w14:textId="77777777" w:rsidR="004210B6" w:rsidRDefault="004210B6" w:rsidP="004210B6">
      <w:pPr>
        <w:jc w:val="both"/>
        <w:rPr>
          <w:sz w:val="20"/>
          <w:szCs w:val="20"/>
          <w:lang w:val="en-US"/>
        </w:rPr>
      </w:pPr>
    </w:p>
    <w:p w14:paraId="6CA4EAC4" w14:textId="77777777" w:rsidR="004210B6" w:rsidRDefault="004210B6" w:rsidP="004210B6">
      <w:pPr>
        <w:rPr>
          <w:sz w:val="20"/>
        </w:rPr>
      </w:pPr>
      <w:proofErr w:type="spellStart"/>
      <w:r>
        <w:rPr>
          <w:sz w:val="20"/>
        </w:rPr>
        <w:t>Eurex</w:t>
      </w:r>
      <w:proofErr w:type="spellEnd"/>
      <w:r>
        <w:rPr>
          <w:sz w:val="20"/>
        </w:rPr>
        <w:t>, the European derivatives exchange is trading Options on the index Euro Stoxx 50 with the following maturity and prices:</w:t>
      </w:r>
    </w:p>
    <w:p w14:paraId="0DCF50A0" w14:textId="77777777" w:rsidR="004210B6" w:rsidRDefault="004210B6" w:rsidP="004210B6">
      <w:pPr>
        <w:rPr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1530"/>
        <w:gridCol w:w="1530"/>
      </w:tblGrid>
      <w:tr w:rsidR="004210B6" w:rsidRPr="00776F7F" w14:paraId="538B9F1A" w14:textId="77777777" w:rsidTr="002B65EE">
        <w:trPr>
          <w:jc w:val="center"/>
        </w:trPr>
        <w:tc>
          <w:tcPr>
            <w:tcW w:w="1865" w:type="dxa"/>
          </w:tcPr>
          <w:p w14:paraId="6554C17F" w14:textId="77777777" w:rsidR="004210B6" w:rsidRPr="00776F7F" w:rsidRDefault="004210B6" w:rsidP="002B65EE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3060" w:type="dxa"/>
            <w:gridSpan w:val="2"/>
          </w:tcPr>
          <w:p w14:paraId="7F9007E3" w14:textId="77777777" w:rsidR="004210B6" w:rsidRDefault="004210B6" w:rsidP="002B65EE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Expiry: Dec 21</w:t>
            </w:r>
          </w:p>
        </w:tc>
      </w:tr>
      <w:tr w:rsidR="004210B6" w:rsidRPr="00776F7F" w14:paraId="27AC0485" w14:textId="77777777" w:rsidTr="002B65EE">
        <w:trPr>
          <w:jc w:val="center"/>
        </w:trPr>
        <w:tc>
          <w:tcPr>
            <w:tcW w:w="1865" w:type="dxa"/>
          </w:tcPr>
          <w:p w14:paraId="2E638A3A" w14:textId="77777777" w:rsidR="004210B6" w:rsidRPr="00776F7F" w:rsidRDefault="004210B6" w:rsidP="002B65EE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Strike Price</w:t>
            </w:r>
          </w:p>
        </w:tc>
        <w:tc>
          <w:tcPr>
            <w:tcW w:w="1530" w:type="dxa"/>
          </w:tcPr>
          <w:p w14:paraId="3BBAAE7C" w14:textId="77777777" w:rsidR="004210B6" w:rsidRDefault="004210B6" w:rsidP="002B65EE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Calls</w:t>
            </w:r>
          </w:p>
        </w:tc>
        <w:tc>
          <w:tcPr>
            <w:tcW w:w="1530" w:type="dxa"/>
          </w:tcPr>
          <w:p w14:paraId="03C4959B" w14:textId="77777777" w:rsidR="004210B6" w:rsidRDefault="004210B6" w:rsidP="002B65EE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 xml:space="preserve">Puts </w:t>
            </w:r>
          </w:p>
        </w:tc>
      </w:tr>
      <w:tr w:rsidR="004210B6" w:rsidRPr="00776F7F" w14:paraId="474BFE51" w14:textId="77777777" w:rsidTr="002B65EE">
        <w:trPr>
          <w:jc w:val="center"/>
        </w:trPr>
        <w:tc>
          <w:tcPr>
            <w:tcW w:w="1865" w:type="dxa"/>
          </w:tcPr>
          <w:p w14:paraId="0D36386A" w14:textId="77777777" w:rsidR="004210B6" w:rsidRPr="00776F7F" w:rsidRDefault="004210B6" w:rsidP="002B65EE">
            <w:pPr>
              <w:jc w:val="center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4,000 points</w:t>
            </w:r>
          </w:p>
        </w:tc>
        <w:tc>
          <w:tcPr>
            <w:tcW w:w="1530" w:type="dxa"/>
          </w:tcPr>
          <w:p w14:paraId="741EE2AB" w14:textId="77777777" w:rsidR="004210B6" w:rsidRDefault="004210B6" w:rsidP="002B65EE">
            <w:pPr>
              <w:ind w:right="157"/>
              <w:jc w:val="righ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62.00 points</w:t>
            </w:r>
          </w:p>
        </w:tc>
        <w:tc>
          <w:tcPr>
            <w:tcW w:w="1530" w:type="dxa"/>
          </w:tcPr>
          <w:p w14:paraId="5FEAA1BF" w14:textId="77777777" w:rsidR="004210B6" w:rsidRPr="00776F7F" w:rsidRDefault="004210B6" w:rsidP="002B65EE">
            <w:pPr>
              <w:ind w:right="157"/>
              <w:jc w:val="righ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575.00 points</w:t>
            </w:r>
          </w:p>
        </w:tc>
      </w:tr>
      <w:tr w:rsidR="004210B6" w:rsidRPr="00776F7F" w14:paraId="058485E8" w14:textId="77777777" w:rsidTr="002B65EE">
        <w:trPr>
          <w:jc w:val="center"/>
        </w:trPr>
        <w:tc>
          <w:tcPr>
            <w:tcW w:w="1865" w:type="dxa"/>
          </w:tcPr>
          <w:p w14:paraId="496852C6" w14:textId="77777777" w:rsidR="004210B6" w:rsidRDefault="004210B6" w:rsidP="002B65EE">
            <w:pPr>
              <w:jc w:val="center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3,500 points</w:t>
            </w:r>
          </w:p>
        </w:tc>
        <w:tc>
          <w:tcPr>
            <w:tcW w:w="1530" w:type="dxa"/>
          </w:tcPr>
          <w:p w14:paraId="423C5E9B" w14:textId="77777777" w:rsidR="004210B6" w:rsidRDefault="004210B6" w:rsidP="002B65EE">
            <w:pPr>
              <w:ind w:right="157"/>
              <w:jc w:val="righ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275.00 points</w:t>
            </w:r>
          </w:p>
        </w:tc>
        <w:tc>
          <w:tcPr>
            <w:tcW w:w="1530" w:type="dxa"/>
          </w:tcPr>
          <w:p w14:paraId="210630A2" w14:textId="77777777" w:rsidR="004210B6" w:rsidRDefault="004210B6" w:rsidP="002B65EE">
            <w:pPr>
              <w:ind w:right="157"/>
              <w:jc w:val="righ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281.00 points</w:t>
            </w:r>
          </w:p>
        </w:tc>
      </w:tr>
    </w:tbl>
    <w:p w14:paraId="4811BA98" w14:textId="77777777" w:rsidR="004210B6" w:rsidRDefault="004210B6" w:rsidP="004210B6">
      <w:pPr>
        <w:jc w:val="both"/>
        <w:rPr>
          <w:sz w:val="20"/>
          <w:szCs w:val="20"/>
          <w:lang w:val="en-US"/>
        </w:rPr>
      </w:pPr>
    </w:p>
    <w:p w14:paraId="6B304497" w14:textId="77777777" w:rsidR="004210B6" w:rsidRDefault="004210B6" w:rsidP="004210B6">
      <w:pPr>
        <w:rPr>
          <w:sz w:val="20"/>
        </w:rPr>
      </w:pPr>
      <w:r>
        <w:rPr>
          <w:sz w:val="20"/>
        </w:rPr>
        <w:t>We are presently in the early days of February 2021 (11 months</w:t>
      </w:r>
      <w:r w:rsidRPr="00AB5318">
        <w:rPr>
          <w:sz w:val="20"/>
        </w:rPr>
        <w:t xml:space="preserve"> </w:t>
      </w:r>
      <w:r>
        <w:rPr>
          <w:sz w:val="20"/>
        </w:rPr>
        <w:t xml:space="preserve">to maturity of the December 2021 contract) and the Euro Stoxx 50 is presently at 3,533.00 points. The Euro Stoxx 50 dividend yield is estimated to be 2.15% for this coming year and the </w:t>
      </w:r>
      <w:proofErr w:type="gramStart"/>
      <w:r>
        <w:rPr>
          <w:sz w:val="20"/>
        </w:rPr>
        <w:t>risk free</w:t>
      </w:r>
      <w:proofErr w:type="gramEnd"/>
      <w:r>
        <w:rPr>
          <w:sz w:val="20"/>
        </w:rPr>
        <w:t xml:space="preserve"> rate is assumed to be -0.50%. The volatility of the index is assumed to be 15%.</w:t>
      </w:r>
    </w:p>
    <w:p w14:paraId="35C439DC" w14:textId="77777777" w:rsidR="004210B6" w:rsidRDefault="004210B6" w:rsidP="004210B6">
      <w:pPr>
        <w:rPr>
          <w:sz w:val="20"/>
        </w:rPr>
      </w:pPr>
    </w:p>
    <w:p w14:paraId="43EC8111" w14:textId="77777777" w:rsidR="004210B6" w:rsidRDefault="004210B6" w:rsidP="004210B6">
      <w:pPr>
        <w:jc w:val="both"/>
        <w:rPr>
          <w:sz w:val="20"/>
          <w:szCs w:val="20"/>
          <w:lang w:val="en-US"/>
        </w:rPr>
      </w:pPr>
      <w:r>
        <w:rPr>
          <w:sz w:val="20"/>
        </w:rPr>
        <w:t xml:space="preserve">The contract specifications </w:t>
      </w:r>
      <w:proofErr w:type="gramStart"/>
      <w:r>
        <w:rPr>
          <w:sz w:val="20"/>
        </w:rPr>
        <w:t>establishes</w:t>
      </w:r>
      <w:proofErr w:type="gramEnd"/>
      <w:r>
        <w:rPr>
          <w:sz w:val="20"/>
        </w:rPr>
        <w:t xml:space="preserve"> 1 index point = €10 for both options and futures.</w:t>
      </w:r>
    </w:p>
    <w:p w14:paraId="7AE140D9" w14:textId="4287458E" w:rsidR="002127A7" w:rsidRPr="00205803" w:rsidRDefault="002127A7" w:rsidP="00C4386D">
      <w:pPr>
        <w:pStyle w:val="ListParagraph"/>
        <w:numPr>
          <w:ilvl w:val="0"/>
          <w:numId w:val="4"/>
        </w:numPr>
        <w:jc w:val="both"/>
        <w:rPr>
          <w:rFonts w:cstheme="minorHAnsi"/>
          <w:sz w:val="20"/>
          <w:szCs w:val="20"/>
          <w:lang w:val="en-US"/>
        </w:rPr>
      </w:pPr>
      <w:r w:rsidRPr="00205803">
        <w:rPr>
          <w:rFonts w:cstheme="minorHAnsi"/>
          <w:sz w:val="20"/>
          <w:szCs w:val="20"/>
          <w:lang w:val="en-US"/>
        </w:rPr>
        <w:t xml:space="preserve">What is the fair price for </w:t>
      </w:r>
      <w:proofErr w:type="gramStart"/>
      <w:r w:rsidRPr="00205803">
        <w:rPr>
          <w:rFonts w:cstheme="minorHAnsi"/>
          <w:sz w:val="20"/>
          <w:szCs w:val="20"/>
          <w:lang w:val="en-US"/>
        </w:rPr>
        <w:t>an</w:t>
      </w:r>
      <w:proofErr w:type="gramEnd"/>
      <w:r w:rsidRPr="00205803">
        <w:rPr>
          <w:rFonts w:cstheme="minorHAnsi"/>
          <w:sz w:val="20"/>
          <w:szCs w:val="20"/>
          <w:lang w:val="en-US"/>
        </w:rPr>
        <w:t xml:space="preserve"> European 3,500.00 Put option on the Euro Stoxx 50, maturing on December 2021 (11 months to maturity)? </w:t>
      </w:r>
      <w:r w:rsidRPr="00205803">
        <w:rPr>
          <w:rFonts w:cstheme="minorHAnsi"/>
          <w:b/>
          <w:sz w:val="20"/>
          <w:szCs w:val="20"/>
          <w:lang w:val="en-US"/>
        </w:rPr>
        <w:t>(1.0 points)</w:t>
      </w:r>
    </w:p>
    <w:p w14:paraId="2E81BFA4" w14:textId="77777777" w:rsidR="002127A7" w:rsidRPr="00205803" w:rsidRDefault="002127A7" w:rsidP="00C4386D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proofErr w:type="gramStart"/>
      <w:r w:rsidRPr="00205803">
        <w:rPr>
          <w:rFonts w:cstheme="minorHAnsi"/>
          <w:sz w:val="20"/>
          <w:szCs w:val="20"/>
          <w:lang w:val="en-US"/>
        </w:rPr>
        <w:t>Assuming that</w:t>
      </w:r>
      <w:proofErr w:type="gramEnd"/>
      <w:r w:rsidRPr="00205803">
        <w:rPr>
          <w:rFonts w:cstheme="minorHAnsi"/>
          <w:sz w:val="20"/>
          <w:szCs w:val="20"/>
          <w:lang w:val="en-US"/>
        </w:rPr>
        <w:t xml:space="preserve"> the put-call parity holds what should be the fair price of the corresponding European Call? Please refer to the previous question. </w:t>
      </w:r>
      <w:r w:rsidRPr="00205803">
        <w:rPr>
          <w:rFonts w:cstheme="minorHAnsi"/>
          <w:b/>
          <w:sz w:val="20"/>
          <w:szCs w:val="20"/>
          <w:lang w:val="en-US"/>
        </w:rPr>
        <w:t>(1.0 points)</w:t>
      </w:r>
    </w:p>
    <w:p w14:paraId="78647EA2" w14:textId="77777777" w:rsidR="002127A7" w:rsidRPr="00205803" w:rsidRDefault="002127A7" w:rsidP="00C4386D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205803">
        <w:rPr>
          <w:rFonts w:cstheme="minorHAnsi"/>
          <w:sz w:val="20"/>
          <w:szCs w:val="20"/>
          <w:lang w:val="en-US"/>
        </w:rPr>
        <w:t xml:space="preserve">What is the probability of the index to be between 3,500 and 4,000 points in December 2021? </w:t>
      </w:r>
      <w:r w:rsidRPr="00205803">
        <w:rPr>
          <w:rFonts w:cstheme="minorHAnsi"/>
          <w:b/>
          <w:sz w:val="20"/>
          <w:szCs w:val="20"/>
          <w:lang w:val="en-US"/>
        </w:rPr>
        <w:t>(1.0 points)</w:t>
      </w:r>
    </w:p>
    <w:p w14:paraId="39AC0849" w14:textId="77777777" w:rsidR="002127A7" w:rsidRDefault="002127A7" w:rsidP="002127A7">
      <w:pPr>
        <w:spacing w:after="0" w:line="240" w:lineRule="auto"/>
        <w:jc w:val="both"/>
        <w:rPr>
          <w:sz w:val="20"/>
          <w:szCs w:val="20"/>
          <w:lang w:val="en-US"/>
        </w:rPr>
      </w:pPr>
    </w:p>
    <w:p w14:paraId="77CEB970" w14:textId="77777777" w:rsidR="00122C77" w:rsidRPr="004210B6" w:rsidRDefault="00122C77" w:rsidP="000D4C2E">
      <w:pPr>
        <w:jc w:val="center"/>
      </w:pPr>
    </w:p>
    <w:p w14:paraId="17C5C34E" w14:textId="77777777" w:rsidR="00122C77" w:rsidRPr="004210B6" w:rsidRDefault="00122C77" w:rsidP="000D4C2E">
      <w:pPr>
        <w:jc w:val="center"/>
      </w:pPr>
    </w:p>
    <w:p w14:paraId="2BE18A36" w14:textId="77777777" w:rsidR="000D4C2E" w:rsidRDefault="000D4C2E"/>
    <w:sectPr w:rsidR="000D4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F1F"/>
    <w:multiLevelType w:val="multilevel"/>
    <w:tmpl w:val="AE1CFA2C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" w15:restartNumberingAfterBreak="0">
    <w:nsid w:val="09C151EB"/>
    <w:multiLevelType w:val="hybridMultilevel"/>
    <w:tmpl w:val="2D7C7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32D1"/>
    <w:multiLevelType w:val="hybridMultilevel"/>
    <w:tmpl w:val="CCDC89AE"/>
    <w:lvl w:ilvl="0" w:tplc="F0720D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C4E88"/>
    <w:multiLevelType w:val="multilevel"/>
    <w:tmpl w:val="0409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 w16cid:durableId="1072387254">
    <w:abstractNumId w:val="1"/>
  </w:num>
  <w:num w:numId="2" w16cid:durableId="1100954498">
    <w:abstractNumId w:val="3"/>
  </w:num>
  <w:num w:numId="3" w16cid:durableId="2100828209">
    <w:abstractNumId w:val="2"/>
  </w:num>
  <w:num w:numId="4" w16cid:durableId="120851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2E"/>
    <w:rsid w:val="000D4C2E"/>
    <w:rsid w:val="00122C77"/>
    <w:rsid w:val="00196B36"/>
    <w:rsid w:val="00205803"/>
    <w:rsid w:val="002127A7"/>
    <w:rsid w:val="004210B6"/>
    <w:rsid w:val="008119E9"/>
    <w:rsid w:val="008E54EA"/>
    <w:rsid w:val="00995913"/>
    <w:rsid w:val="00B97E5E"/>
    <w:rsid w:val="00BF1B51"/>
    <w:rsid w:val="00C4386D"/>
    <w:rsid w:val="00C95583"/>
    <w:rsid w:val="00E2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A4C0A"/>
  <w15:chartTrackingRefBased/>
  <w15:docId w15:val="{60A0F8AA-3533-40EA-831D-2237664F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pt-PT" w:eastAsia="pt-PT"/>
      <w14:ligatures w14:val="none"/>
    </w:rPr>
  </w:style>
  <w:style w:type="table" w:styleId="TableGrid">
    <w:name w:val="Table Grid"/>
    <w:basedOn w:val="TableNormal"/>
    <w:rsid w:val="004210B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pt-PT" w:eastAsia="pt-PT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289</Words>
  <Characters>1649</Characters>
  <Application>Microsoft Office Word</Application>
  <DocSecurity>0</DocSecurity>
  <Lines>13</Lines>
  <Paragraphs>3</Paragraphs>
  <ScaleCrop>false</ScaleCrop>
  <Company>HP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Zulmira Fino</dc:creator>
  <cp:keywords/>
  <dc:description/>
  <cp:lastModifiedBy>Zulmira Fino</cp:lastModifiedBy>
  <cp:revision>14</cp:revision>
  <dcterms:created xsi:type="dcterms:W3CDTF">2023-11-19T16:47:00Z</dcterms:created>
  <dcterms:modified xsi:type="dcterms:W3CDTF">2023-11-26T18:54:00Z</dcterms:modified>
</cp:coreProperties>
</file>